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  <w:t xml:space="preserve">        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D54F02">
        <w:rPr>
          <w:rFonts w:ascii="Times New Roman" w:hAnsi="Times New Roman" w:cs="Times New Roman"/>
          <w:sz w:val="24"/>
          <w:szCs w:val="24"/>
        </w:rPr>
        <w:t>06-2/278-16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24.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januar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2017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DE2B4B" w:rsidRPr="00D54F02" w:rsidRDefault="00DE2B4B" w:rsidP="00DE2B4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DE2B4B" w:rsidRPr="00D54F02" w:rsidRDefault="00DE2B4B" w:rsidP="00DE2B4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E2B4B" w:rsidRPr="00D54F02" w:rsidRDefault="00DE2B4B" w:rsidP="00DE2B4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54F02">
        <w:rPr>
          <w:rFonts w:ascii="Times New Roman" w:hAnsi="Times New Roman" w:cs="Times New Roman"/>
          <w:sz w:val="24"/>
          <w:szCs w:val="24"/>
        </w:rPr>
        <w:t xml:space="preserve">,10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F0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D54F02">
        <w:rPr>
          <w:rFonts w:ascii="Times New Roman" w:hAnsi="Times New Roman" w:cs="Times New Roman"/>
          <w:sz w:val="24"/>
          <w:szCs w:val="24"/>
        </w:rPr>
        <w:t>,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D54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D54F02">
        <w:rPr>
          <w:rFonts w:ascii="Times New Roman" w:hAnsi="Times New Roman" w:cs="Times New Roman"/>
          <w:bCs/>
          <w:sz w:val="24"/>
          <w:szCs w:val="24"/>
        </w:rPr>
        <w:t>: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B4B" w:rsidRPr="00D54F02" w:rsidRDefault="00DE2B4B" w:rsidP="00DE2B4B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akreditovani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E2B4B" w:rsidRPr="00D54F02" w:rsidRDefault="00DE2B4B" w:rsidP="00DE2B4B">
      <w:pPr>
        <w:pStyle w:val="ListParagraph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</w:p>
    <w:p w:rsidR="00DE2B4B" w:rsidRPr="00D54F02" w:rsidRDefault="00DE2B4B" w:rsidP="00DE2B4B">
      <w:pPr>
        <w:pStyle w:val="NoSpacing"/>
        <w:ind w:left="135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akreditovani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10.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lužb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56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54F02">
        <w:rPr>
          <w:rFonts w:ascii="Times New Roman" w:hAnsi="Times New Roman" w:cs="Times New Roman"/>
          <w:sz w:val="24"/>
          <w:szCs w:val="24"/>
        </w:rPr>
        <w:t>.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Enis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sačekati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pokrenule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jednostavniji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Đorđe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kompetentni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prehodnom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Gojković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glasila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".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iskoristile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elektronskih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Ana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tabs>
          <w:tab w:val="left" w:pos="2962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Nataša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Mihailović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Vacić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ponovljen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Snežana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Srbislav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Filipović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opredeljuje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istupa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Vladimir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Đurić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Snežana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Latn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izlganju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Gojković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izlganju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Kujović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Kujović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sz w:val="24"/>
          <w:szCs w:val="24"/>
        </w:rPr>
        <w:t>Nacionalna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invaliditetom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„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“, „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osobama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paraplegičara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kvadriplegičara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SGN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Audiološki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Kosova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Metohije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Asocijacija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tumača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znakovnog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jezika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Užice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Šumadijskog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okruga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Leskovac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Pirot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Prokuplje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Aleksinac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Požarevac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Smederevo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Valjevo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Kruševac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Kraljevo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Čačak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Sportsko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Trstenik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Opštnnska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Kuršumlija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orgalizacija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Zrenjanin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Subotica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Kikinda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Mitrovica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Crkva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Žabalj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Kosovska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kružna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Leskovac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slabovidih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Zvezdara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MNRL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Aleksinac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Imam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MNRL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Zagrljaj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Topola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Biser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Srbobran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Ivanjica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posebnim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potrebama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Naši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Trstenik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bubrežnih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bolesnika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Smederevske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Palanke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- Kidney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mentalno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paraplegičara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kvadriplegičara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SGN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Audiološki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Asocijacija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znakovnog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Šumadijskog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Leskovac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 O</w:t>
      </w:r>
      <w:r>
        <w:rPr>
          <w:rFonts w:ascii="Times New Roman" w:hAnsi="Times New Roman" w:cs="Times New Roman"/>
          <w:sz w:val="24"/>
          <w:szCs w:val="24"/>
          <w:lang w:val="sr-Cyrl-RS"/>
        </w:rPr>
        <w:t>snovna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Prokuplje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Aleksinac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Opštnnska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Kuršumlija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orgalizacija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Senta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Žabalj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SGN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Mitrovica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, O</w:t>
      </w:r>
      <w:r>
        <w:rPr>
          <w:rFonts w:ascii="Times New Roman" w:hAnsi="Times New Roman" w:cs="Times New Roman"/>
          <w:sz w:val="24"/>
          <w:szCs w:val="24"/>
          <w:lang w:val="sr-Cyrl-RS"/>
        </w:rPr>
        <w:t>kružna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Leskovac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slabovidih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Zvezdara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MNRL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Aleksinac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Imam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MNRL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mentalno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Zagrljaj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Biser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Srbobran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Ivanjica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bubrežnih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bolesnika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Palanke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- Kidney.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709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</w:rPr>
        <w:t>”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100.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194.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Đorđe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Ana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funcionisanju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“,. </w:t>
      </w:r>
    </w:p>
    <w:p w:rsidR="00DE2B4B" w:rsidRPr="00D54F02" w:rsidRDefault="00DE2B4B" w:rsidP="00DE2B4B">
      <w:pPr>
        <w:tabs>
          <w:tab w:val="left" w:pos="3002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2B4B" w:rsidRPr="00D54F02" w:rsidRDefault="00DE2B4B" w:rsidP="00DE2B4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redsedavajuća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”.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15,00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FB1D2C" w:rsidRDefault="00FB1D2C"/>
    <w:sectPr w:rsidR="00FB1D2C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0A" w:rsidRDefault="0097280A">
      <w:r>
        <w:separator/>
      </w:r>
    </w:p>
  </w:endnote>
  <w:endnote w:type="continuationSeparator" w:id="0">
    <w:p w:rsidR="0097280A" w:rsidRDefault="0097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972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857161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FB9" w:rsidRDefault="00DE2B4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117E8">
          <w:t>1</w:t>
        </w:r>
        <w:r>
          <w:fldChar w:fldCharType="end"/>
        </w:r>
      </w:p>
    </w:sdtContent>
  </w:sdt>
  <w:p w:rsidR="00405FB9" w:rsidRDefault="009728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972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0A" w:rsidRDefault="0097280A">
      <w:r>
        <w:separator/>
      </w:r>
    </w:p>
  </w:footnote>
  <w:footnote w:type="continuationSeparator" w:id="0">
    <w:p w:rsidR="0097280A" w:rsidRDefault="0097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972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9728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972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B"/>
    <w:rsid w:val="000117E8"/>
    <w:rsid w:val="005C7E5F"/>
    <w:rsid w:val="0097280A"/>
    <w:rsid w:val="00DE2B4B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4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B4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E2B4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E2B4B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4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4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4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B4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E2B4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E2B4B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4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2017-02-24T08:43:00Z</dcterms:created>
  <dcterms:modified xsi:type="dcterms:W3CDTF">2017-02-24T08:43:00Z</dcterms:modified>
</cp:coreProperties>
</file>